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B" w:rsidRPr="00256DDB" w:rsidRDefault="00256DDB" w:rsidP="00256D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en-AU"/>
        </w:rPr>
        <w:t>Об Антик</w:t>
      </w:r>
      <w:bookmarkStart w:id="0" w:name="_GoBack"/>
      <w:bookmarkEnd w:id="0"/>
      <w:r w:rsidRPr="00256D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en-AU"/>
        </w:rPr>
        <w:t>оррупционной стратегии Республики Казахстан на 2015-2025 годы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Указ Президента Республики Казахстан от 26 декабря 2014 года № 986.</w:t>
      </w:r>
    </w:p>
    <w:p w:rsidR="00256DDB" w:rsidRPr="00256DDB" w:rsidRDefault="00256DDB" w:rsidP="0025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6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Текст </w:t>
        </w:r>
      </w:hyperlink>
    </w:p>
    <w:p w:rsidR="00256DDB" w:rsidRPr="00256DDB" w:rsidRDefault="00256DDB" w:rsidP="0025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Официальная публикация </w:t>
      </w:r>
    </w:p>
    <w:p w:rsidR="00256DDB" w:rsidRPr="00256DDB" w:rsidRDefault="00256DDB" w:rsidP="0025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7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Информация </w:t>
        </w:r>
      </w:hyperlink>
    </w:p>
    <w:p w:rsidR="00256DDB" w:rsidRPr="00256DDB" w:rsidRDefault="00256DDB" w:rsidP="0025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История изменений </w:t>
        </w:r>
      </w:hyperlink>
    </w:p>
    <w:p w:rsidR="00256DDB" w:rsidRPr="00256DDB" w:rsidRDefault="00256DDB" w:rsidP="0025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Ссылки </w:t>
        </w:r>
      </w:hyperlink>
    </w:p>
    <w:p w:rsidR="00256DDB" w:rsidRPr="00256DDB" w:rsidRDefault="00256DDB" w:rsidP="0025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0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Скачать </w:t>
        </w:r>
      </w:hyperlink>
    </w:p>
    <w:p w:rsidR="00256DDB" w:rsidRPr="00256DDB" w:rsidRDefault="00256DDB" w:rsidP="00256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Прочее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целях дальнейшего определения основных направлений антикоррупционной политики государства </w:t>
      </w:r>
      <w:r w:rsidRPr="00256D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AU"/>
        </w:rPr>
        <w:t>ПОСТАНОВЛЯЮ: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1. Утвердить прилагаемую </w:t>
      </w:r>
      <w:hyperlink r:id="rId11" w:anchor="z7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Антикоррупционную стратегию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Республики Казахстан на 2015–2025 годы (далее – Стратегия).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p w:rsidR="00256DDB" w:rsidRPr="00256DDB" w:rsidRDefault="00256DDB" w:rsidP="002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Сноска. Пункт 2 в редакции Указа Президента РК от 04.08.2018 </w:t>
      </w:r>
      <w:hyperlink r:id="rId12" w:anchor="z91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№ 723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.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br/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3. Контроль за исполнением настоящего Указа возложить на Администрацию Президента Республики Казахстан.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4. Настоящий Указ вводится в действие со дня подписания.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3177"/>
      </w:tblGrid>
      <w:tr w:rsidR="00256DDB" w:rsidRPr="00256DDB" w:rsidTr="00256DDB">
        <w:trPr>
          <w:gridAfter w:val="1"/>
          <w:wAfter w:w="3180" w:type="dxa"/>
          <w:tblCellSpacing w:w="15" w:type="dxa"/>
        </w:trPr>
        <w:tc>
          <w:tcPr>
            <w:tcW w:w="6000" w:type="dxa"/>
            <w:vAlign w:val="center"/>
            <w:hideMark/>
          </w:tcPr>
          <w:p w:rsidR="00256DDB" w:rsidRPr="00256DDB" w:rsidRDefault="00256DDB" w:rsidP="002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AU"/>
              </w:rPr>
            </w:pPr>
            <w:r w:rsidRPr="00256D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 </w:t>
            </w:r>
            <w:r w:rsidRPr="00256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AU"/>
              </w:rPr>
              <w:t xml:space="preserve"> </w:t>
            </w:r>
          </w:p>
        </w:tc>
      </w:tr>
      <w:tr w:rsidR="00256DDB" w:rsidRPr="00256DDB" w:rsidTr="00256DDB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256DDB" w:rsidRPr="00256DDB" w:rsidRDefault="00256DDB" w:rsidP="002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56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     </w:t>
            </w:r>
            <w:r w:rsidRPr="00256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en-AU"/>
              </w:rPr>
              <w:t xml:space="preserve"> </w:t>
            </w:r>
            <w:r w:rsidRPr="00256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Президент</w:t>
            </w:r>
            <w:r w:rsidRPr="00256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br/>
              <w:t>Республики Казахстан</w:t>
            </w:r>
            <w:r w:rsidRPr="00256D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256DDB" w:rsidRPr="00256DDB" w:rsidRDefault="00256DDB" w:rsidP="0025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56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Н. НАЗАРБАЕВ</w:t>
            </w:r>
            <w:r w:rsidRPr="00256D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</w:tbl>
    <w:p w:rsidR="00256DDB" w:rsidRPr="00256DDB" w:rsidRDefault="00256DDB" w:rsidP="00256D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56DDB" w:rsidRPr="00256DDB" w:rsidTr="00256DD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56DDB" w:rsidRPr="00256DDB" w:rsidRDefault="00256DDB" w:rsidP="002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56DD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56DDB" w:rsidRPr="00256DDB" w:rsidRDefault="00256DDB" w:rsidP="002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AU"/>
              </w:rPr>
            </w:pPr>
            <w:bookmarkStart w:id="1" w:name="z6"/>
            <w:bookmarkEnd w:id="1"/>
            <w:r w:rsidRPr="00256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AU"/>
              </w:rPr>
              <w:t>УТВЕРЖДЕНА</w:t>
            </w:r>
            <w:r w:rsidRPr="00256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AU"/>
              </w:rPr>
              <w:br/>
              <w:t>Указом Президента Республики Казахстан</w:t>
            </w:r>
            <w:r w:rsidRPr="00256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AU"/>
              </w:rPr>
              <w:br/>
              <w:t>от 26 декабря 2014 года № 986</w:t>
            </w:r>
          </w:p>
        </w:tc>
      </w:tr>
    </w:tbl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АНТИКОРРУПЦИОННАЯ СТРАТЕГИЯ</w:t>
      </w: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br/>
        <w:t>РЕСПУБЛИКИ КАЗАХСТАН НА 2015–2025 ГОДЫ</w:t>
      </w: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br/>
      </w:r>
      <w:bookmarkStart w:id="2" w:name="z8"/>
      <w:bookmarkEnd w:id="2"/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Содержание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Сноска. Содержание с изменением, внесенным Указом Президента РК от 27.05.2020 </w:t>
      </w:r>
      <w:hyperlink r:id="rId13" w:anchor="z6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№ 341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1.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Введение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2.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Анализ текущей ситуации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2.1.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Положительные тенденции в сфере противодействия коррупции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2.2.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Проблемы, требующие решения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2.3.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Основные факторы, способствующие коррупционным проявлениям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Цель и задачи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3.1.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Цель и целевые индикаторы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3.2.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Задачи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Ключевые направления, основные подходы и приоритетные меры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4.1.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Противодействие коррупции в сфере государственной службы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4.2.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Внедрение института общественного контроля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4.3.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Противодействие коррупции в квазигосударственном и частном секторе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4.4.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Предупреждение коррупции в судебных и правоохранительных органах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4.5. Формирование системы добропорядочности и антикоррупционной культуры в обществе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4.6.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Развитие международного сотрудничества по вопросам противодействия коррупции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5.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Мониторинг и оценка реализации стратегии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1. Введение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Сноска. Раздел 1 с изменением, внесенным Указом Президента РК от 27.05.2020 </w:t>
      </w:r>
      <w:hyperlink r:id="rId14" w:anchor="z9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№ 341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Стратегия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нашей стране действует современное антикоррупционное законодательство, основой которого являются законы "</w:t>
      </w:r>
      <w:hyperlink r:id="rId15" w:anchor="z33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О противодействии коррупции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" и "</w:t>
      </w:r>
      <w:hyperlink r:id="rId16" w:anchor="z70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О государственной службе Республики Казахстан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",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2. Анализ текущей ситуации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Сноска. Раздел 2 с изменениями, внесенными Указом Президента РК от 27.05.2020 </w:t>
      </w:r>
      <w:hyperlink r:id="rId17" w:anchor="z12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№ 341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2.1. Положительные тенденции в сфере противодействия коррупции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Казахстан одним из первых в СНГ принял Закон "</w:t>
      </w:r>
      <w:hyperlink r:id="rId18" w:anchor="z0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О борьбе с коррупцией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", определивший цели, задачи, основные принципы и механизмы борьбы с этим негативным явлением.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Действовавший с 1999 года </w:t>
      </w:r>
      <w:hyperlink r:id="rId19" w:anchor="z36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Закон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Создан государственный орган, объединяющий в себе регулятивные и 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квазигосударственного 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 этом предупредительно-профилактическая деятельность является приоритетной для вновь созданного органа.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Необходимость суровой ответственности за коррупционные преступления предусмотрена </w:t>
      </w:r>
      <w:hyperlink r:id="rId20" w:anchor="z7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Концепцией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правовой политики Республики Казахстан на период с 2010 до 2020 года.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Такой принципиальный подход реализован в новом Уголовном кодексе.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 этом, наряду с усилением ответственности государственных служащих, совершенствуются и их социальные гарантии.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 принятием Закона "</w:t>
      </w:r>
      <w:hyperlink r:id="rId21" w:anchor="z0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О государственных услугах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" и Закона "</w:t>
      </w:r>
      <w:hyperlink r:id="rId22" w:anchor="z0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О разрешениях и уведомлениях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Сформирована система оценки эффективности и внешнего контроля качества оказания государственных услуг.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2.2. Проблемы, требующие решения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По-прежнему актуальной является проблема использования всего арсенала средств предотвращения коррупционных проявлений.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Недостает системности и в предупредительно-профилактической работе.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Необходимо наконец-то определиться и с подходами к вопросам противодействия коррупции в частном секторе.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</w:t>
      </w:r>
      <w:hyperlink r:id="rId23" w:anchor="z0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Конституции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функционирования</w:t>
      </w:r>
      <w:proofErr w:type="gramEnd"/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традиционных и присущих нашей стране правовых механизмов и институтов.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2.3. Основные факторы, способствующие коррупционным проявлениям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3. Цель и задачи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3.1. Цель и целевые индикаторы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Целевые индикаторы, применяемые в Стратегии: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качество государственных услуг;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доверие общества институтам государственной власти;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уровень правовой культуры населения;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</w:t>
      </w: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Transparency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</w:t>
      </w: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International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".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3.2. Задачи Стратегии: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противодействие коррупции в сфере государственной службы;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внедрение института общественного контроля;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противодействие коррупции в квазигосударственном и частном секторе;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предупреждение коррупции в судах и правоохранительных органах;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формирование уровня антикоррупционной культуры;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развитие международного сотрудничества по вопросам противодействия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Цель и задачи Стратегии направлены на достижение целей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Стратегии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"Казахстан-2050", учитывают положения программы Партии "Нұр Отан" по противодействию коррупции на 2015–2025 годы, а также предложения и мнения других общественных объединений.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4. Ключевые направления, основные подходы и приоритетные меры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Сноска. Раздел 4 с изменениями, внесенными Указом Президента РК от 27.05.2020 </w:t>
      </w:r>
      <w:hyperlink r:id="rId24" w:anchor="z24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№ 341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4.1. Противодействие коррупции в сфере государственной службы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Неподкупность государственных служащих и прозрачность их деятельности – основа успешности антикоррупционной политики.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Влияние человеческого фактора минимизирует и широкое использование современных информационных технологий.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Расширится и перечень государственных услуг, предоставляемых населению по принципу "одного окна" (через ЦОНы).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4.2. Внедрение института общественного контроля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Действенным механизмом профилактики коррупции является общественный контроль.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 этом общественный контроль должен быть четко разграничен с контрольными функциями государства в соответствии с требованиями </w:t>
      </w:r>
      <w:r w:rsidRPr="00256DD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AU"/>
        </w:rPr>
        <w:t>Конституции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страны.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Еще одним инструментом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использования.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Свободный доступ к публичной информации исключит необходимость излишних контактов населения с чиновниками.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4.3. Противодействие коррупции в квазигосударственном и частном секторе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Укреплению добропорядочности в квазигосударственном секторе способствуют комплаенс-службы, деятельность которых будет сосредоточена на контроле за соблюдением антикоррупционного 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lastRenderedPageBreak/>
        <w:t>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Предстоит принять ряд других антикоррупционных мер в различных сферах финансово-хозяйственной деятельности.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4.4. Предупреждение коррупции в судебных и правоохранительных органах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Доверие населения должно стать главным критерием оценки правоохранительной деятельности.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4.5. Формирование системы добропорядочности и антикоррупционной культуры в обществе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Сноска. Подраздел 4.5. в редакции Указа Президента РК от 27.05.2020 </w:t>
      </w:r>
      <w:hyperlink r:id="rId25" w:anchor="z33" w:history="1">
        <w:r w:rsidRPr="00256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AU"/>
          </w:rPr>
          <w:t>№ 341</w:t>
        </w:r>
      </w:hyperlink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>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Концептуальной основой изменения парадигмы противодействия коррупции должна стать идеология добропорядочности в обществе.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Добропорядочность –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– это угроза успешному будущему страны, препятствие для конкурентоспособности подрастающего поколения.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"сломать" стереотип о высокой коррумпированности чиновников.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Молодежное антикоррупционное движение, школьные клубы добропорядочности будут способствовать формированию нового поколения граждан с "иммунитетом" от коррупции.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lastRenderedPageBreak/>
        <w:t>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взятки или причиненного ущерба. 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При этом необходимо проработать дополнительные механизмы защиты лиц, сообщивших о коррупционном правонарушении.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противодействию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t>4.6. Развитие международного сотрудничества по вопросам противодействия коррупции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Казахстан будет расширять и углублять международное сотрудничество в вопросах противодействия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</w:pPr>
      <w:r w:rsidRPr="00256DDB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AU"/>
        </w:rPr>
        <w:lastRenderedPageBreak/>
        <w:t>5. Мониторинг и оценка реализации Стратегии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Условием надлежащего мониторинга и оценки состояния реализации Антикоррупционной стратегии является его открытость.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Оценка и мнение общественности будут учитываться на последующих этапах реализации Стратегии.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256DDB" w:rsidRPr="00256DDB" w:rsidRDefault="00256DDB" w:rsidP="0025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</w:pPr>
      <w:r w:rsidRPr="00256DDB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</w:t>
      </w:r>
      <w:r w:rsidRPr="00256DDB">
        <w:rPr>
          <w:rFonts w:ascii="Times New Roman" w:eastAsia="Times New Roman" w:hAnsi="Times New Roman" w:cs="Times New Roman"/>
          <w:sz w:val="24"/>
          <w:szCs w:val="24"/>
          <w:lang w:val="ru-RU" w:eastAsia="en-AU"/>
        </w:rPr>
        <w:t xml:space="preserve"> Ежегодный Национальный отчет о реализации документа подлежит размещению в средствах массовой информации.</w:t>
      </w:r>
    </w:p>
    <w:p w:rsidR="00377553" w:rsidRPr="00256DDB" w:rsidRDefault="00377553">
      <w:pPr>
        <w:rPr>
          <w:lang w:val="ru-RU"/>
        </w:rPr>
      </w:pPr>
    </w:p>
    <w:sectPr w:rsidR="00377553" w:rsidRPr="00256DDB" w:rsidSect="00256DDB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459E"/>
    <w:multiLevelType w:val="multilevel"/>
    <w:tmpl w:val="F1D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DB"/>
    <w:rsid w:val="00256DDB"/>
    <w:rsid w:val="00377553"/>
    <w:rsid w:val="00D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3">
    <w:name w:val="heading 3"/>
    <w:basedOn w:val="a"/>
    <w:link w:val="30"/>
    <w:uiPriority w:val="9"/>
    <w:qFormat/>
    <w:rsid w:val="00256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DD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30">
    <w:name w:val="Заголовок 3 Знак"/>
    <w:basedOn w:val="a0"/>
    <w:link w:val="3"/>
    <w:uiPriority w:val="9"/>
    <w:rsid w:val="00256DD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a3">
    <w:name w:val="Normal (Web)"/>
    <w:basedOn w:val="a"/>
    <w:uiPriority w:val="99"/>
    <w:semiHidden/>
    <w:unhideWhenUsed/>
    <w:rsid w:val="0025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semiHidden/>
    <w:unhideWhenUsed/>
    <w:rsid w:val="00256DDB"/>
    <w:rPr>
      <w:color w:val="0000FF"/>
      <w:u w:val="single"/>
    </w:rPr>
  </w:style>
  <w:style w:type="character" w:customStyle="1" w:styleId="note">
    <w:name w:val="note"/>
    <w:basedOn w:val="a0"/>
    <w:rsid w:val="00256DDB"/>
  </w:style>
  <w:style w:type="paragraph" w:customStyle="1" w:styleId="note1">
    <w:name w:val="note1"/>
    <w:basedOn w:val="a"/>
    <w:rsid w:val="0025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3">
    <w:name w:val="heading 3"/>
    <w:basedOn w:val="a"/>
    <w:link w:val="30"/>
    <w:uiPriority w:val="9"/>
    <w:qFormat/>
    <w:rsid w:val="00256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DD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30">
    <w:name w:val="Заголовок 3 Знак"/>
    <w:basedOn w:val="a0"/>
    <w:link w:val="3"/>
    <w:uiPriority w:val="9"/>
    <w:rsid w:val="00256DD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a3">
    <w:name w:val="Normal (Web)"/>
    <w:basedOn w:val="a"/>
    <w:uiPriority w:val="99"/>
    <w:semiHidden/>
    <w:unhideWhenUsed/>
    <w:rsid w:val="0025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semiHidden/>
    <w:unhideWhenUsed/>
    <w:rsid w:val="00256DDB"/>
    <w:rPr>
      <w:color w:val="0000FF"/>
      <w:u w:val="single"/>
    </w:rPr>
  </w:style>
  <w:style w:type="character" w:customStyle="1" w:styleId="note">
    <w:name w:val="note"/>
    <w:basedOn w:val="a0"/>
    <w:rsid w:val="00256DDB"/>
  </w:style>
  <w:style w:type="paragraph" w:customStyle="1" w:styleId="note1">
    <w:name w:val="note1"/>
    <w:basedOn w:val="a"/>
    <w:rsid w:val="0025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U1400000986/history" TargetMode="External"/><Relationship Id="rId13" Type="http://schemas.openxmlformats.org/officeDocument/2006/relationships/hyperlink" Target="https://adilet.zan.kz/rus/docs/U2000000341" TargetMode="External"/><Relationship Id="rId18" Type="http://schemas.openxmlformats.org/officeDocument/2006/relationships/hyperlink" Target="https://adilet.zan.kz/rus/docs/Z980000267_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Z1300000088" TargetMode="External"/><Relationship Id="rId7" Type="http://schemas.openxmlformats.org/officeDocument/2006/relationships/hyperlink" Target="https://adilet.zan.kz/rus/docs/U1400000986/info" TargetMode="External"/><Relationship Id="rId12" Type="http://schemas.openxmlformats.org/officeDocument/2006/relationships/hyperlink" Target="https://adilet.zan.kz/rus/docs/U1800000723" TargetMode="External"/><Relationship Id="rId17" Type="http://schemas.openxmlformats.org/officeDocument/2006/relationships/hyperlink" Target="https://adilet.zan.kz/rus/docs/U2000000341" TargetMode="External"/><Relationship Id="rId25" Type="http://schemas.openxmlformats.org/officeDocument/2006/relationships/hyperlink" Target="https://adilet.zan.kz/rus/docs/U20000003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1500000416" TargetMode="External"/><Relationship Id="rId20" Type="http://schemas.openxmlformats.org/officeDocument/2006/relationships/hyperlink" Target="https://adilet.zan.kz/rus/docs/U090000858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U1400000986" TargetMode="External"/><Relationship Id="rId11" Type="http://schemas.openxmlformats.org/officeDocument/2006/relationships/hyperlink" Target="https://adilet.zan.kz/rus/docs/U1400000986" TargetMode="External"/><Relationship Id="rId24" Type="http://schemas.openxmlformats.org/officeDocument/2006/relationships/hyperlink" Target="https://adilet.zan.kz/rus/docs/U20000003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Z1500000410" TargetMode="External"/><Relationship Id="rId23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U1400000986/download" TargetMode="External"/><Relationship Id="rId19" Type="http://schemas.openxmlformats.org/officeDocument/2006/relationships/hyperlink" Target="https://adilet.zan.kz/rus/docs/Z990000453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U1400000986/links" TargetMode="External"/><Relationship Id="rId14" Type="http://schemas.openxmlformats.org/officeDocument/2006/relationships/hyperlink" Target="https://adilet.zan.kz/rus/docs/U2000000341" TargetMode="External"/><Relationship Id="rId22" Type="http://schemas.openxmlformats.org/officeDocument/2006/relationships/hyperlink" Target="https://adilet.zan.kz/rus/docs/Z14000002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6377</Words>
  <Characters>36354</Characters>
  <Application>Microsoft Office Word</Application>
  <DocSecurity>0</DocSecurity>
  <Lines>302</Lines>
  <Paragraphs>85</Paragraphs>
  <ScaleCrop>false</ScaleCrop>
  <Company/>
  <LinksUpToDate>false</LinksUpToDate>
  <CharactersWithSpaces>42646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zhana_000</dc:creator>
  <cp:keywords/>
  <dc:description/>
  <cp:lastModifiedBy>zhana_000</cp:lastModifiedBy>
  <cp:revision>1</cp:revision>
  <dcterms:created xsi:type="dcterms:W3CDTF">2021-06-25T16:38:00Z</dcterms:created>
  <dcterms:modified xsi:type="dcterms:W3CDTF">2021-06-25T16:38:00Z</dcterms:modified>
</cp:coreProperties>
</file>